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00" w:rsidRDefault="00341400" w:rsidP="00DF53A1">
      <w:pPr>
        <w:spacing w:before="120" w:after="120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ED10CE" w:rsidRDefault="00ED10CE" w:rsidP="00DF53A1">
      <w:pPr>
        <w:spacing w:before="120" w:after="120"/>
        <w:jc w:val="center"/>
        <w:rPr>
          <w:rFonts w:eastAsia="Times New Roman"/>
          <w:b/>
          <w:bCs/>
          <w:sz w:val="28"/>
          <w:szCs w:val="28"/>
          <w:lang w:eastAsia="es-ES"/>
        </w:rPr>
      </w:pPr>
      <w:r>
        <w:rPr>
          <w:rFonts w:eastAsia="Times New Roman"/>
          <w:b/>
          <w:bCs/>
          <w:sz w:val="28"/>
          <w:szCs w:val="28"/>
          <w:lang w:eastAsia="es-ES"/>
        </w:rPr>
        <w:t xml:space="preserve">TÍTULO (Times </w:t>
      </w:r>
      <w:r w:rsidR="0029542C">
        <w:rPr>
          <w:rFonts w:eastAsia="Times New Roman"/>
          <w:b/>
          <w:bCs/>
          <w:sz w:val="28"/>
          <w:szCs w:val="28"/>
          <w:lang w:eastAsia="es-ES"/>
        </w:rPr>
        <w:t xml:space="preserve">New </w:t>
      </w:r>
      <w:proofErr w:type="spellStart"/>
      <w:r w:rsidR="004B743F">
        <w:rPr>
          <w:rFonts w:eastAsia="Times New Roman"/>
          <w:b/>
          <w:bCs/>
          <w:sz w:val="28"/>
          <w:szCs w:val="28"/>
          <w:lang w:eastAsia="es-ES"/>
        </w:rPr>
        <w:t>Roman</w:t>
      </w:r>
      <w:proofErr w:type="spellEnd"/>
      <w:r w:rsidR="0029542C">
        <w:rPr>
          <w:rFonts w:eastAsia="Times New Roman"/>
          <w:b/>
          <w:bCs/>
          <w:sz w:val="28"/>
          <w:szCs w:val="28"/>
          <w:lang w:eastAsia="es-E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s-ES"/>
        </w:rPr>
        <w:t>14)</w:t>
      </w:r>
    </w:p>
    <w:p w:rsidR="00DF53A1" w:rsidRDefault="00DF53A1" w:rsidP="00DF53A1">
      <w:pPr>
        <w:spacing w:before="120" w:after="120"/>
        <w:jc w:val="center"/>
        <w:rPr>
          <w:rFonts w:eastAsia="Times New Roman"/>
          <w:b/>
          <w:bCs/>
          <w:sz w:val="20"/>
          <w:szCs w:val="28"/>
          <w:lang w:eastAsia="es-ES"/>
        </w:rPr>
      </w:pPr>
    </w:p>
    <w:p w:rsidR="00CF5C06" w:rsidRPr="00DF53A1" w:rsidRDefault="00CF5C06" w:rsidP="00DF53A1">
      <w:pPr>
        <w:spacing w:before="120" w:after="120"/>
        <w:jc w:val="center"/>
        <w:rPr>
          <w:rFonts w:eastAsia="Times New Roman"/>
          <w:b/>
          <w:bCs/>
          <w:sz w:val="20"/>
          <w:szCs w:val="28"/>
          <w:lang w:eastAsia="es-ES"/>
        </w:rPr>
      </w:pPr>
    </w:p>
    <w:p w:rsidR="00ED10CE" w:rsidRPr="00131B6E" w:rsidRDefault="00ED10CE" w:rsidP="00ED10CE">
      <w:pPr>
        <w:jc w:val="center"/>
        <w:rPr>
          <w:rFonts w:eastAsia="Times New Roman"/>
          <w:b/>
          <w:bCs/>
          <w:iCs/>
          <w:sz w:val="20"/>
          <w:szCs w:val="20"/>
          <w:lang w:eastAsia="es-ES"/>
        </w:rPr>
      </w:pPr>
      <w:r w:rsidRPr="00131B6E">
        <w:rPr>
          <w:rFonts w:eastAsia="Times New Roman"/>
          <w:b/>
          <w:bCs/>
          <w:iCs/>
          <w:sz w:val="20"/>
          <w:szCs w:val="20"/>
          <w:lang w:eastAsia="es-ES"/>
        </w:rPr>
        <w:t>Nombre y Apellidos</w:t>
      </w:r>
      <w:r w:rsidRPr="00131B6E">
        <w:rPr>
          <w:rFonts w:eastAsia="Times New Roman"/>
          <w:b/>
          <w:bCs/>
          <w:iCs/>
          <w:sz w:val="20"/>
          <w:szCs w:val="20"/>
          <w:vertAlign w:val="superscript"/>
          <w:lang w:eastAsia="es-ES"/>
        </w:rPr>
        <w:t>1</w:t>
      </w:r>
      <w:r w:rsidRPr="00131B6E">
        <w:rPr>
          <w:rFonts w:eastAsia="Times New Roman"/>
          <w:b/>
          <w:bCs/>
          <w:iCs/>
          <w:sz w:val="20"/>
          <w:szCs w:val="20"/>
          <w:lang w:eastAsia="es-ES"/>
        </w:rPr>
        <w:t>, Nombre y Apellidos</w:t>
      </w:r>
      <w:r w:rsidRPr="00131B6E">
        <w:rPr>
          <w:rFonts w:eastAsia="Times New Roman"/>
          <w:b/>
          <w:bCs/>
          <w:iCs/>
          <w:sz w:val="20"/>
          <w:szCs w:val="20"/>
          <w:vertAlign w:val="superscript"/>
          <w:lang w:eastAsia="es-ES"/>
        </w:rPr>
        <w:t>2</w:t>
      </w:r>
      <w:r w:rsidRPr="00131B6E">
        <w:rPr>
          <w:rFonts w:eastAsia="Times New Roman"/>
          <w:b/>
          <w:bCs/>
          <w:iCs/>
          <w:sz w:val="20"/>
          <w:szCs w:val="20"/>
          <w:lang w:eastAsia="es-ES"/>
        </w:rPr>
        <w:t>, Nombre y Apellidos</w:t>
      </w:r>
      <w:r w:rsidRPr="00131B6E">
        <w:rPr>
          <w:rFonts w:eastAsia="Times New Roman"/>
          <w:b/>
          <w:bCs/>
          <w:iCs/>
          <w:sz w:val="20"/>
          <w:szCs w:val="20"/>
          <w:vertAlign w:val="superscript"/>
          <w:lang w:eastAsia="es-ES"/>
        </w:rPr>
        <w:t>3</w:t>
      </w:r>
      <w:r w:rsidRPr="00131B6E">
        <w:rPr>
          <w:rFonts w:eastAsia="Times New Roman"/>
          <w:b/>
          <w:bCs/>
          <w:iCs/>
          <w:sz w:val="20"/>
          <w:szCs w:val="20"/>
          <w:lang w:eastAsia="es-ES"/>
        </w:rPr>
        <w:t>, Nombre y Apellidos</w:t>
      </w:r>
      <w:r w:rsidRPr="00131B6E">
        <w:rPr>
          <w:rFonts w:eastAsia="Times New Roman"/>
          <w:b/>
          <w:bCs/>
          <w:iCs/>
          <w:sz w:val="20"/>
          <w:szCs w:val="20"/>
          <w:vertAlign w:val="superscript"/>
          <w:lang w:eastAsia="es-ES"/>
        </w:rPr>
        <w:t>4</w:t>
      </w:r>
    </w:p>
    <w:p w:rsidR="00ED10CE" w:rsidRPr="00783B7A" w:rsidRDefault="00ED10CE" w:rsidP="00ED10CE">
      <w:pPr>
        <w:jc w:val="center"/>
        <w:rPr>
          <w:rFonts w:eastAsia="Times New Roman"/>
          <w:bCs/>
          <w:sz w:val="20"/>
          <w:szCs w:val="20"/>
          <w:lang w:eastAsia="es-ES"/>
        </w:rPr>
      </w:pPr>
      <w:r w:rsidRPr="00131B6E">
        <w:rPr>
          <w:rFonts w:eastAsia="Times New Roman"/>
          <w:bCs/>
          <w:sz w:val="20"/>
          <w:szCs w:val="20"/>
          <w:vertAlign w:val="superscript"/>
          <w:lang w:eastAsia="es-ES"/>
        </w:rPr>
        <w:t>1</w:t>
      </w:r>
      <w:r w:rsidRPr="00783B7A">
        <w:rPr>
          <w:rFonts w:eastAsia="Times New Roman"/>
          <w:bCs/>
          <w:sz w:val="20"/>
          <w:szCs w:val="20"/>
          <w:lang w:eastAsia="es-ES"/>
        </w:rPr>
        <w:t>Departamento de la Universidad de... (País) o Institución a la que pertenece (País)</w:t>
      </w:r>
    </w:p>
    <w:p w:rsidR="00ED10CE" w:rsidRPr="00783B7A" w:rsidRDefault="00ED10CE" w:rsidP="00ED10CE">
      <w:pPr>
        <w:jc w:val="center"/>
        <w:rPr>
          <w:rFonts w:eastAsia="Times New Roman"/>
          <w:bCs/>
          <w:sz w:val="20"/>
          <w:szCs w:val="20"/>
          <w:lang w:eastAsia="es-ES"/>
        </w:rPr>
      </w:pPr>
      <w:r w:rsidRPr="00131B6E">
        <w:rPr>
          <w:rFonts w:eastAsia="Times New Roman"/>
          <w:bCs/>
          <w:sz w:val="20"/>
          <w:szCs w:val="20"/>
          <w:vertAlign w:val="superscript"/>
          <w:lang w:eastAsia="es-ES"/>
        </w:rPr>
        <w:t>2</w:t>
      </w:r>
      <w:r w:rsidRPr="00783B7A">
        <w:rPr>
          <w:rFonts w:eastAsia="Times New Roman"/>
          <w:bCs/>
          <w:sz w:val="20"/>
          <w:szCs w:val="20"/>
          <w:lang w:eastAsia="es-ES"/>
        </w:rPr>
        <w:t>Departamento de la Universidad de... (País) o Institución a la que pertenece (País)</w:t>
      </w:r>
    </w:p>
    <w:p w:rsidR="00ED10CE" w:rsidRPr="00783B7A" w:rsidRDefault="00ED10CE" w:rsidP="00ED10CE">
      <w:pPr>
        <w:jc w:val="center"/>
        <w:rPr>
          <w:rFonts w:eastAsia="Times New Roman"/>
          <w:bCs/>
          <w:sz w:val="20"/>
          <w:szCs w:val="20"/>
          <w:lang w:eastAsia="es-ES"/>
        </w:rPr>
      </w:pPr>
      <w:r w:rsidRPr="00131B6E">
        <w:rPr>
          <w:rFonts w:eastAsia="Times New Roman"/>
          <w:bCs/>
          <w:sz w:val="20"/>
          <w:szCs w:val="20"/>
          <w:vertAlign w:val="superscript"/>
          <w:lang w:eastAsia="es-ES"/>
        </w:rPr>
        <w:t>3</w:t>
      </w:r>
      <w:r w:rsidRPr="00783B7A">
        <w:rPr>
          <w:rFonts w:eastAsia="Times New Roman"/>
          <w:bCs/>
          <w:sz w:val="20"/>
          <w:szCs w:val="20"/>
          <w:lang w:eastAsia="es-ES"/>
        </w:rPr>
        <w:t>Departamento de la Universidad de... (País) o Institución a la que pertenece (País)</w:t>
      </w:r>
    </w:p>
    <w:p w:rsidR="00ED10CE" w:rsidRPr="00783B7A" w:rsidRDefault="00ED10CE" w:rsidP="00ED10CE">
      <w:pPr>
        <w:jc w:val="center"/>
        <w:rPr>
          <w:rFonts w:eastAsia="Times New Roman"/>
          <w:bCs/>
          <w:sz w:val="20"/>
          <w:szCs w:val="20"/>
          <w:lang w:eastAsia="es-ES"/>
        </w:rPr>
      </w:pPr>
      <w:r w:rsidRPr="00131B6E">
        <w:rPr>
          <w:rFonts w:eastAsia="Times New Roman"/>
          <w:bCs/>
          <w:sz w:val="20"/>
          <w:szCs w:val="20"/>
          <w:vertAlign w:val="superscript"/>
          <w:lang w:eastAsia="es-ES"/>
        </w:rPr>
        <w:t>4</w:t>
      </w:r>
      <w:r w:rsidRPr="00783B7A">
        <w:rPr>
          <w:rFonts w:eastAsia="Times New Roman"/>
          <w:bCs/>
          <w:sz w:val="20"/>
          <w:szCs w:val="20"/>
          <w:lang w:eastAsia="es-ES"/>
        </w:rPr>
        <w:t>Departamento de la Universidad de... (País) o Institución a la que pertenece</w:t>
      </w:r>
      <w:r>
        <w:rPr>
          <w:rFonts w:eastAsia="Times New Roman"/>
          <w:bCs/>
          <w:sz w:val="20"/>
          <w:szCs w:val="20"/>
          <w:lang w:eastAsia="es-ES"/>
        </w:rPr>
        <w:t xml:space="preserve"> (País)</w:t>
      </w:r>
    </w:p>
    <w:p w:rsidR="00ED10CE" w:rsidRDefault="00ED10CE" w:rsidP="00DF53A1">
      <w:pPr>
        <w:jc w:val="center"/>
        <w:rPr>
          <w:rFonts w:eastAsia="Times New Roman"/>
          <w:bCs/>
          <w:sz w:val="20"/>
          <w:szCs w:val="20"/>
          <w:lang w:eastAsia="es-ES"/>
        </w:rPr>
      </w:pPr>
      <w:r>
        <w:rPr>
          <w:rFonts w:eastAsia="Times New Roman"/>
          <w:bCs/>
          <w:sz w:val="20"/>
          <w:szCs w:val="20"/>
          <w:lang w:eastAsia="es-ES"/>
        </w:rPr>
        <w:t>Correo electrónico</w:t>
      </w:r>
      <w:r w:rsidRPr="00131B6E">
        <w:rPr>
          <w:rFonts w:eastAsia="Times New Roman"/>
          <w:bCs/>
          <w:sz w:val="20"/>
          <w:szCs w:val="20"/>
          <w:lang w:eastAsia="es-ES"/>
        </w:rPr>
        <w:t xml:space="preserve">: </w:t>
      </w:r>
      <w:r w:rsidRPr="0084417B">
        <w:rPr>
          <w:rFonts w:eastAsia="Times New Roman"/>
          <w:bCs/>
          <w:sz w:val="20"/>
          <w:szCs w:val="20"/>
          <w:lang w:eastAsia="es-ES"/>
        </w:rPr>
        <w:t>autor1@</w:t>
      </w:r>
      <w:r>
        <w:rPr>
          <w:rFonts w:eastAsia="Times New Roman"/>
          <w:bCs/>
          <w:sz w:val="20"/>
          <w:szCs w:val="20"/>
          <w:lang w:eastAsia="es-ES"/>
        </w:rPr>
        <w:t>correo</w:t>
      </w:r>
      <w:r w:rsidRPr="0084417B">
        <w:rPr>
          <w:rFonts w:eastAsia="Times New Roman"/>
          <w:bCs/>
          <w:sz w:val="20"/>
          <w:szCs w:val="20"/>
          <w:lang w:eastAsia="es-ES"/>
        </w:rPr>
        <w:t>.es</w:t>
      </w:r>
      <w:r w:rsidRPr="00131B6E">
        <w:rPr>
          <w:rFonts w:eastAsia="Times New Roman"/>
          <w:bCs/>
          <w:sz w:val="20"/>
          <w:szCs w:val="20"/>
          <w:lang w:eastAsia="es-ES"/>
        </w:rPr>
        <w:t xml:space="preserve">, </w:t>
      </w:r>
      <w:r w:rsidRPr="0084417B">
        <w:rPr>
          <w:rFonts w:eastAsia="Times New Roman"/>
          <w:bCs/>
          <w:sz w:val="20"/>
          <w:szCs w:val="20"/>
          <w:lang w:eastAsia="es-ES"/>
        </w:rPr>
        <w:t>autor2@</w:t>
      </w:r>
      <w:r>
        <w:rPr>
          <w:rFonts w:eastAsia="Times New Roman"/>
          <w:bCs/>
          <w:sz w:val="20"/>
          <w:szCs w:val="20"/>
          <w:lang w:eastAsia="es-ES"/>
        </w:rPr>
        <w:t>correo</w:t>
      </w:r>
      <w:r w:rsidRPr="0084417B">
        <w:rPr>
          <w:rFonts w:eastAsia="Times New Roman"/>
          <w:bCs/>
          <w:sz w:val="20"/>
          <w:szCs w:val="20"/>
          <w:lang w:eastAsia="es-ES"/>
        </w:rPr>
        <w:t>.es</w:t>
      </w:r>
      <w:r w:rsidRPr="00131B6E">
        <w:rPr>
          <w:rFonts w:eastAsia="Times New Roman"/>
          <w:bCs/>
          <w:sz w:val="20"/>
          <w:szCs w:val="20"/>
          <w:lang w:eastAsia="es-ES"/>
        </w:rPr>
        <w:t xml:space="preserve">, </w:t>
      </w:r>
      <w:r w:rsidRPr="0084417B">
        <w:rPr>
          <w:rFonts w:eastAsia="Times New Roman"/>
          <w:bCs/>
          <w:sz w:val="20"/>
          <w:szCs w:val="20"/>
          <w:lang w:eastAsia="es-ES"/>
        </w:rPr>
        <w:t>autor3@</w:t>
      </w:r>
      <w:r>
        <w:rPr>
          <w:rFonts w:eastAsia="Times New Roman"/>
          <w:bCs/>
          <w:sz w:val="20"/>
          <w:szCs w:val="20"/>
          <w:lang w:eastAsia="es-ES"/>
        </w:rPr>
        <w:t>correo</w:t>
      </w:r>
      <w:r w:rsidRPr="0084417B">
        <w:rPr>
          <w:rFonts w:eastAsia="Times New Roman"/>
          <w:bCs/>
          <w:sz w:val="20"/>
          <w:szCs w:val="20"/>
          <w:lang w:eastAsia="es-ES"/>
        </w:rPr>
        <w:t>.es</w:t>
      </w:r>
      <w:r w:rsidRPr="00131B6E">
        <w:rPr>
          <w:rFonts w:eastAsia="Times New Roman"/>
          <w:bCs/>
          <w:sz w:val="20"/>
          <w:szCs w:val="20"/>
          <w:lang w:eastAsia="es-ES"/>
        </w:rPr>
        <w:t xml:space="preserve">, </w:t>
      </w:r>
      <w:hyperlink r:id="rId8" w:history="1">
        <w:r w:rsidR="00DF53A1" w:rsidRPr="008F0067">
          <w:rPr>
            <w:rStyle w:val="Hipervnculo"/>
            <w:rFonts w:eastAsia="Times New Roman"/>
            <w:bCs/>
            <w:sz w:val="20"/>
            <w:szCs w:val="20"/>
            <w:lang w:eastAsia="es-ES"/>
          </w:rPr>
          <w:t>autor4@correo.es</w:t>
        </w:r>
      </w:hyperlink>
    </w:p>
    <w:p w:rsidR="00DF53A1" w:rsidRPr="00DF53A1" w:rsidRDefault="00DF53A1" w:rsidP="00DF53A1">
      <w:pPr>
        <w:jc w:val="center"/>
        <w:rPr>
          <w:rFonts w:eastAsia="Times New Roman"/>
          <w:bCs/>
          <w:sz w:val="20"/>
          <w:szCs w:val="20"/>
          <w:lang w:eastAsia="es-ES"/>
        </w:rPr>
      </w:pPr>
    </w:p>
    <w:p w:rsidR="00CF5C06" w:rsidRDefault="00CF5C06" w:rsidP="00ED10CE">
      <w:pPr>
        <w:spacing w:before="120" w:after="120"/>
        <w:jc w:val="both"/>
        <w:rPr>
          <w:rFonts w:eastAsia="Times New Roman"/>
          <w:b/>
          <w:bCs/>
          <w:lang w:eastAsia="es-ES"/>
        </w:rPr>
      </w:pPr>
    </w:p>
    <w:p w:rsidR="00CF5C06" w:rsidRDefault="00CF5C06" w:rsidP="00ED10CE">
      <w:pPr>
        <w:spacing w:before="120" w:after="120"/>
        <w:jc w:val="both"/>
        <w:rPr>
          <w:rFonts w:eastAsia="Times New Roman"/>
          <w:b/>
          <w:bCs/>
          <w:lang w:eastAsia="es-ES"/>
        </w:rPr>
      </w:pPr>
    </w:p>
    <w:p w:rsidR="00ED10CE" w:rsidRPr="00783B7A" w:rsidRDefault="00ED10CE" w:rsidP="00ED10CE">
      <w:pPr>
        <w:spacing w:before="120" w:after="120"/>
        <w:jc w:val="both"/>
        <w:rPr>
          <w:rFonts w:eastAsia="Times New Roman"/>
          <w:bCs/>
          <w:lang w:eastAsia="es-ES"/>
        </w:rPr>
      </w:pPr>
      <w:r w:rsidRPr="00783B7A">
        <w:rPr>
          <w:rFonts w:eastAsia="Times New Roman"/>
          <w:b/>
          <w:bCs/>
          <w:lang w:eastAsia="es-ES"/>
        </w:rPr>
        <w:t>Resumen</w:t>
      </w:r>
      <w:r w:rsidR="007C3B38">
        <w:rPr>
          <w:rFonts w:eastAsia="Times New Roman"/>
          <w:bCs/>
          <w:lang w:eastAsia="es-ES"/>
        </w:rPr>
        <w:t xml:space="preserve"> (E</w:t>
      </w:r>
      <w:r>
        <w:rPr>
          <w:rFonts w:eastAsia="Times New Roman"/>
          <w:bCs/>
          <w:lang w:eastAsia="es-ES"/>
        </w:rPr>
        <w:t>ntre 6 y 8 líneas)</w:t>
      </w:r>
    </w:p>
    <w:p w:rsidR="009A51C0" w:rsidRDefault="00ED10CE" w:rsidP="00DF53A1">
      <w:pPr>
        <w:spacing w:before="120" w:after="120"/>
        <w:ind w:left="708"/>
        <w:jc w:val="both"/>
        <w:rPr>
          <w:rFonts w:eastAsia="Times New Roman"/>
          <w:bCs/>
          <w:lang w:eastAsia="es-ES"/>
        </w:rPr>
      </w:pPr>
      <w:r>
        <w:rPr>
          <w:rFonts w:eastAsia="Times New Roman"/>
          <w:bCs/>
          <w:lang w:eastAsia="es-ES"/>
        </w:rPr>
        <w:t>[Escribir aquí – sin sangría]</w:t>
      </w:r>
    </w:p>
    <w:p w:rsidR="00DF53A1" w:rsidRPr="00DF53A1" w:rsidRDefault="00DF53A1" w:rsidP="00DF53A1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DF53A1" w:rsidRPr="00DF53A1" w:rsidRDefault="00DF53A1" w:rsidP="00ED10CE">
      <w:pPr>
        <w:spacing w:before="120" w:after="120"/>
        <w:jc w:val="both"/>
        <w:rPr>
          <w:rFonts w:eastAsia="Times New Roman"/>
          <w:b/>
          <w:bCs/>
          <w:sz w:val="20"/>
          <w:lang w:eastAsia="es-ES"/>
        </w:rPr>
      </w:pPr>
    </w:p>
    <w:p w:rsidR="00DF53A1" w:rsidRDefault="00DF53A1" w:rsidP="00ED10CE">
      <w:pPr>
        <w:spacing w:before="120" w:after="120"/>
        <w:jc w:val="both"/>
        <w:rPr>
          <w:rFonts w:eastAsia="Times New Roman"/>
          <w:b/>
          <w:bCs/>
          <w:sz w:val="20"/>
          <w:lang w:eastAsia="es-ES"/>
        </w:rPr>
      </w:pPr>
    </w:p>
    <w:p w:rsidR="00CF5C06" w:rsidRDefault="00CF5C06" w:rsidP="00ED10CE">
      <w:pPr>
        <w:spacing w:before="120" w:after="120"/>
        <w:jc w:val="both"/>
        <w:rPr>
          <w:rFonts w:eastAsia="Times New Roman"/>
          <w:b/>
          <w:bCs/>
          <w:sz w:val="20"/>
          <w:lang w:eastAsia="es-ES"/>
        </w:rPr>
      </w:pPr>
    </w:p>
    <w:p w:rsidR="00CF5C06" w:rsidRPr="00DF53A1" w:rsidRDefault="00CF5C06" w:rsidP="00ED10CE">
      <w:pPr>
        <w:spacing w:before="120" w:after="120"/>
        <w:jc w:val="both"/>
        <w:rPr>
          <w:rFonts w:eastAsia="Times New Roman"/>
          <w:b/>
          <w:bCs/>
          <w:sz w:val="20"/>
          <w:lang w:eastAsia="es-ES"/>
        </w:rPr>
      </w:pPr>
    </w:p>
    <w:p w:rsidR="00ED10CE" w:rsidRPr="00783B7A" w:rsidRDefault="00ED10CE" w:rsidP="00ED10CE">
      <w:pPr>
        <w:spacing w:before="120" w:after="120"/>
        <w:jc w:val="both"/>
        <w:rPr>
          <w:rFonts w:eastAsia="Times New Roman"/>
          <w:bCs/>
          <w:lang w:eastAsia="es-ES"/>
        </w:rPr>
      </w:pPr>
      <w:r w:rsidRPr="00783B7A">
        <w:rPr>
          <w:rFonts w:eastAsia="Times New Roman"/>
          <w:b/>
          <w:bCs/>
          <w:lang w:eastAsia="es-ES"/>
        </w:rPr>
        <w:t>Palabras clave</w:t>
      </w:r>
      <w:r w:rsidR="00F10F61">
        <w:rPr>
          <w:rFonts w:eastAsia="Times New Roman"/>
          <w:bCs/>
          <w:lang w:eastAsia="es-ES"/>
        </w:rPr>
        <w:t xml:space="preserve"> (E</w:t>
      </w:r>
      <w:r w:rsidR="009160AD">
        <w:rPr>
          <w:rFonts w:eastAsia="Times New Roman"/>
          <w:bCs/>
          <w:lang w:eastAsia="es-ES"/>
        </w:rPr>
        <w:t>ntre 3 y 5</w:t>
      </w:r>
      <w:r w:rsidR="00CF13EB">
        <w:rPr>
          <w:rFonts w:eastAsia="Times New Roman"/>
          <w:bCs/>
          <w:lang w:eastAsia="es-ES"/>
        </w:rPr>
        <w:t xml:space="preserve"> palabras</w:t>
      </w:r>
      <w:r>
        <w:rPr>
          <w:rFonts w:eastAsia="Times New Roman"/>
          <w:bCs/>
          <w:lang w:eastAsia="es-ES"/>
        </w:rPr>
        <w:t>)</w:t>
      </w:r>
    </w:p>
    <w:p w:rsidR="00ED10CE" w:rsidRDefault="00ED10CE" w:rsidP="003C6220">
      <w:pPr>
        <w:spacing w:before="120" w:after="120"/>
        <w:ind w:left="708"/>
        <w:jc w:val="both"/>
        <w:rPr>
          <w:rFonts w:eastAsia="Times New Roman"/>
          <w:bCs/>
          <w:lang w:eastAsia="es-ES"/>
        </w:rPr>
      </w:pPr>
      <w:r>
        <w:rPr>
          <w:rFonts w:eastAsia="Times New Roman"/>
          <w:bCs/>
          <w:lang w:eastAsia="es-ES"/>
        </w:rPr>
        <w:t>[Escribir aquí]</w:t>
      </w:r>
    </w:p>
    <w:p w:rsidR="009A51C0" w:rsidRPr="00DF53A1" w:rsidRDefault="009A51C0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7C3B38" w:rsidRPr="00E46438" w:rsidRDefault="007C3B38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ED10CE" w:rsidRDefault="00ED10CE" w:rsidP="00D25C37">
      <w:pPr>
        <w:spacing w:before="120" w:after="120"/>
        <w:jc w:val="both"/>
        <w:rPr>
          <w:rFonts w:eastAsia="Times New Roman"/>
          <w:b/>
          <w:bCs/>
          <w:sz w:val="20"/>
          <w:szCs w:val="20"/>
          <w:lang w:eastAsia="es-ES"/>
        </w:rPr>
      </w:pPr>
      <w:r w:rsidRPr="00E516A1">
        <w:rPr>
          <w:rFonts w:eastAsia="Times New Roman"/>
          <w:b/>
          <w:bCs/>
          <w:sz w:val="20"/>
          <w:szCs w:val="20"/>
          <w:lang w:eastAsia="es-ES"/>
        </w:rPr>
        <w:t>Área temática en la que se incluye el trabajo</w:t>
      </w:r>
      <w:r>
        <w:rPr>
          <w:rFonts w:eastAsia="Times New Roman"/>
          <w:b/>
          <w:bCs/>
          <w:sz w:val="20"/>
          <w:szCs w:val="20"/>
          <w:lang w:eastAsia="es-ES"/>
        </w:rPr>
        <w:t xml:space="preserve"> (marcar la casilla</w:t>
      </w:r>
      <w:r w:rsidR="00D25C37">
        <w:rPr>
          <w:rFonts w:eastAsia="Times New Roman"/>
          <w:b/>
          <w:bCs/>
          <w:sz w:val="20"/>
          <w:szCs w:val="20"/>
          <w:lang w:eastAsia="es-ES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es-ES"/>
        </w:rPr>
        <w:t>que corresponda</w:t>
      </w:r>
      <w:r w:rsidR="00D25C37">
        <w:rPr>
          <w:rFonts w:eastAsia="Times New Roman"/>
          <w:b/>
          <w:bCs/>
          <w:sz w:val="20"/>
          <w:szCs w:val="20"/>
          <w:lang w:eastAsia="es-ES"/>
        </w:rPr>
        <w:t xml:space="preserve"> con una X</w:t>
      </w:r>
      <w:r>
        <w:rPr>
          <w:rFonts w:eastAsia="Times New Roman"/>
          <w:b/>
          <w:bCs/>
          <w:sz w:val="20"/>
          <w:szCs w:val="20"/>
          <w:lang w:eastAsia="es-ES"/>
        </w:rPr>
        <w:t>)</w:t>
      </w:r>
      <w:r w:rsidRPr="00E516A1">
        <w:rPr>
          <w:rFonts w:eastAsia="Times New Roman"/>
          <w:b/>
          <w:bCs/>
          <w:sz w:val="20"/>
          <w:szCs w:val="20"/>
          <w:lang w:eastAsia="es-ES"/>
        </w:rPr>
        <w:t>:</w:t>
      </w:r>
    </w:p>
    <w:p w:rsidR="007C3B38" w:rsidRPr="007C3B38" w:rsidRDefault="007C3B38" w:rsidP="00D25C37">
      <w:pPr>
        <w:spacing w:before="120" w:after="120"/>
        <w:jc w:val="both"/>
        <w:rPr>
          <w:rFonts w:eastAsia="Times New Roman"/>
          <w:b/>
          <w:bCs/>
          <w:sz w:val="2"/>
          <w:szCs w:val="20"/>
          <w:lang w:eastAsia="es-ES"/>
        </w:rPr>
      </w:pPr>
    </w:p>
    <w:p w:rsidR="00D25C37" w:rsidRPr="00F04C48" w:rsidRDefault="00ED10CE" w:rsidP="00F04C48">
      <w:pPr>
        <w:spacing w:before="120" w:after="120"/>
        <w:jc w:val="both"/>
        <w:rPr>
          <w:rFonts w:eastAsia="Times New Roman"/>
          <w:bCs/>
          <w:i/>
          <w:sz w:val="20"/>
          <w:szCs w:val="20"/>
          <w:lang w:eastAsia="es-ES"/>
        </w:rPr>
      </w:pPr>
      <w:r w:rsidRPr="00F04C48">
        <w:rPr>
          <w:rFonts w:eastAsia="Times New Roman"/>
          <w:bCs/>
          <w:i/>
          <w:sz w:val="20"/>
          <w:szCs w:val="20"/>
          <w:lang w:eastAsia="es-ES"/>
        </w:rPr>
        <w:t>Las políticas de orientación para la carrera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31222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C48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F43B5A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D25C37">
        <w:rPr>
          <w:rFonts w:eastAsia="Times New Roman"/>
          <w:bCs/>
          <w:sz w:val="20"/>
          <w:szCs w:val="20"/>
          <w:lang w:eastAsia="es-ES"/>
        </w:rPr>
        <w:t>E</w:t>
      </w:r>
      <w:r w:rsidR="00ED10CE" w:rsidRPr="00ED10CE">
        <w:rPr>
          <w:rFonts w:eastAsia="Times New Roman"/>
          <w:bCs/>
          <w:sz w:val="20"/>
          <w:szCs w:val="20"/>
          <w:lang w:eastAsia="es-ES"/>
        </w:rPr>
        <w:t>l papel de la orientación en la enseñanza secundaria y superior, no universitaria.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-126591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B5A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ED10CE" w:rsidRPr="00ED10CE">
        <w:rPr>
          <w:rFonts w:eastAsia="Times New Roman"/>
          <w:bCs/>
          <w:sz w:val="20"/>
          <w:szCs w:val="20"/>
          <w:lang w:eastAsia="es-ES"/>
        </w:rPr>
        <w:t>La función orientadora de las universidades: la responsabilidad de las instituciones de educación superior.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190517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B5A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F43B5A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D10CE" w:rsidRPr="00ED10CE">
        <w:rPr>
          <w:rFonts w:eastAsia="Times New Roman"/>
          <w:bCs/>
          <w:sz w:val="20"/>
          <w:szCs w:val="20"/>
          <w:lang w:eastAsia="es-ES"/>
        </w:rPr>
        <w:t>Las estrategias de la orientación profesional en y para el empleo: industria 4.0.</w:t>
      </w:r>
    </w:p>
    <w:p w:rsidR="00055EC9" w:rsidRDefault="00055EC9" w:rsidP="00F04C48">
      <w:pPr>
        <w:spacing w:before="120" w:after="120"/>
        <w:jc w:val="both"/>
        <w:rPr>
          <w:rFonts w:eastAsia="Times New Roman"/>
          <w:bCs/>
          <w:i/>
          <w:sz w:val="20"/>
          <w:szCs w:val="20"/>
          <w:lang w:eastAsia="es-ES"/>
        </w:rPr>
      </w:pPr>
    </w:p>
    <w:p w:rsidR="00CF5C06" w:rsidRPr="00055EC9" w:rsidRDefault="00CF5C06" w:rsidP="00F04C48">
      <w:pPr>
        <w:spacing w:before="120" w:after="120"/>
        <w:jc w:val="both"/>
        <w:rPr>
          <w:rFonts w:eastAsia="Times New Roman"/>
          <w:bCs/>
          <w:i/>
          <w:sz w:val="20"/>
          <w:szCs w:val="20"/>
          <w:lang w:eastAsia="es-ES"/>
        </w:rPr>
      </w:pPr>
    </w:p>
    <w:p w:rsidR="00D25C37" w:rsidRPr="00F04C48" w:rsidRDefault="00ED10CE" w:rsidP="00F04C48">
      <w:pPr>
        <w:spacing w:before="120" w:after="120"/>
        <w:jc w:val="both"/>
        <w:rPr>
          <w:rFonts w:eastAsia="Times New Roman"/>
          <w:bCs/>
          <w:i/>
          <w:sz w:val="20"/>
          <w:szCs w:val="20"/>
          <w:lang w:eastAsia="es-ES"/>
        </w:rPr>
      </w:pPr>
      <w:r w:rsidRPr="00F04C48">
        <w:rPr>
          <w:rFonts w:eastAsia="Times New Roman"/>
          <w:bCs/>
          <w:i/>
          <w:sz w:val="20"/>
          <w:szCs w:val="20"/>
          <w:lang w:eastAsia="es-ES"/>
        </w:rPr>
        <w:t>Los servicios de orientación para la carrera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-197783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B5A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A42E45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D10CE" w:rsidRPr="00D25C37">
        <w:rPr>
          <w:rFonts w:eastAsia="Times New Roman"/>
          <w:bCs/>
          <w:sz w:val="20"/>
          <w:szCs w:val="20"/>
          <w:lang w:eastAsia="es-ES"/>
        </w:rPr>
        <w:t>La orientación en educación secundaria y formación profesional.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-111389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B5A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A42E45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D10CE" w:rsidRPr="00BE1E04">
        <w:rPr>
          <w:rFonts w:eastAsia="Times New Roman"/>
          <w:bCs/>
          <w:sz w:val="20"/>
          <w:szCs w:val="20"/>
          <w:lang w:eastAsia="es-ES"/>
        </w:rPr>
        <w:t>Los servicios de orientación en las universidades.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-170701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B5A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A42E45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D10CE" w:rsidRPr="00ED10CE">
        <w:rPr>
          <w:rFonts w:eastAsia="Times New Roman"/>
          <w:bCs/>
          <w:sz w:val="20"/>
          <w:szCs w:val="20"/>
          <w:lang w:eastAsia="es-ES"/>
        </w:rPr>
        <w:t>La orientación para la carrera en los servicios de empleo, los sindicatos, las organizaciones empresariales y los recursos humanos en las empresas.</w:t>
      </w:r>
    </w:p>
    <w:p w:rsidR="007C3B38" w:rsidRDefault="007C3B38" w:rsidP="00E464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CF5C06" w:rsidRDefault="00CF5C06" w:rsidP="00F04C48">
      <w:pPr>
        <w:spacing w:before="120" w:after="120"/>
        <w:jc w:val="both"/>
        <w:rPr>
          <w:rFonts w:eastAsia="Times New Roman"/>
          <w:bCs/>
          <w:i/>
          <w:sz w:val="20"/>
          <w:szCs w:val="20"/>
          <w:lang w:eastAsia="es-ES"/>
        </w:rPr>
      </w:pPr>
    </w:p>
    <w:p w:rsidR="00D25C37" w:rsidRPr="00F04C48" w:rsidRDefault="00ED10CE" w:rsidP="00F04C48">
      <w:pPr>
        <w:spacing w:before="120" w:after="120"/>
        <w:jc w:val="both"/>
        <w:rPr>
          <w:rFonts w:eastAsia="Times New Roman"/>
          <w:bCs/>
          <w:i/>
          <w:sz w:val="20"/>
          <w:szCs w:val="20"/>
          <w:lang w:eastAsia="es-ES"/>
        </w:rPr>
      </w:pPr>
      <w:r w:rsidRPr="00F04C48">
        <w:rPr>
          <w:rFonts w:eastAsia="Times New Roman"/>
          <w:bCs/>
          <w:i/>
          <w:sz w:val="20"/>
          <w:szCs w:val="20"/>
          <w:lang w:eastAsia="es-ES"/>
        </w:rPr>
        <w:t>Las competencias de gestión para la carrera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-21998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E0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7A2FE0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D10CE" w:rsidRPr="00ED10CE">
        <w:rPr>
          <w:rFonts w:eastAsia="Times New Roman"/>
          <w:bCs/>
          <w:sz w:val="20"/>
          <w:szCs w:val="20"/>
          <w:lang w:eastAsia="es-ES"/>
        </w:rPr>
        <w:t>Las competencias del aprendizaje permanente y los contenidos de la orientación en la educación superior no universitaria.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118502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2F6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3902F6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D10CE" w:rsidRPr="00ED10CE">
        <w:rPr>
          <w:rFonts w:eastAsia="Times New Roman"/>
          <w:bCs/>
          <w:sz w:val="20"/>
          <w:szCs w:val="20"/>
          <w:lang w:eastAsia="es-ES"/>
        </w:rPr>
        <w:t>Metodologías y formación de las competencias de gestión para la carrera en el ámbito universitario.</w:t>
      </w:r>
    </w:p>
    <w:p w:rsidR="00D25C3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162412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45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A42E45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D10CE" w:rsidRPr="00ED10CE">
        <w:rPr>
          <w:rFonts w:eastAsia="Times New Roman"/>
          <w:bCs/>
          <w:sz w:val="20"/>
          <w:szCs w:val="20"/>
          <w:lang w:eastAsia="es-ES"/>
        </w:rPr>
        <w:t>Estrategias de la orientación para la carrera en el emprendimiento y el empleo: el aprendizaje basado en el trabajo.</w:t>
      </w:r>
    </w:p>
    <w:p w:rsidR="00F57FF7" w:rsidRDefault="00D15E72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sdt>
        <w:sdtPr>
          <w:rPr>
            <w:rFonts w:eastAsia="Times New Roman"/>
            <w:bCs/>
            <w:sz w:val="20"/>
            <w:szCs w:val="20"/>
            <w:lang w:eastAsia="es-ES"/>
          </w:rPr>
          <w:id w:val="-116731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E0">
            <w:rPr>
              <w:rFonts w:ascii="MS Gothic" w:eastAsia="MS Gothic" w:hAnsi="MS Gothic" w:hint="eastAsia"/>
              <w:bCs/>
              <w:sz w:val="20"/>
              <w:szCs w:val="20"/>
              <w:lang w:eastAsia="es-ES"/>
            </w:rPr>
            <w:t>☐</w:t>
          </w:r>
        </w:sdtContent>
      </w:sdt>
      <w:r w:rsidR="00A42E45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D25C37">
        <w:rPr>
          <w:rFonts w:eastAsia="Times New Roman"/>
          <w:bCs/>
          <w:sz w:val="20"/>
          <w:szCs w:val="20"/>
          <w:lang w:eastAsia="es-ES"/>
        </w:rPr>
        <w:t xml:space="preserve">La </w:t>
      </w:r>
      <w:r w:rsidR="00ED10CE" w:rsidRPr="00ED10CE">
        <w:rPr>
          <w:rFonts w:eastAsia="Times New Roman"/>
          <w:bCs/>
          <w:sz w:val="20"/>
          <w:szCs w:val="20"/>
          <w:lang w:eastAsia="es-ES"/>
        </w:rPr>
        <w:t>formación de los profesionales de la orientación para la carrera.</w:t>
      </w:r>
    </w:p>
    <w:p w:rsidR="00DF53A1" w:rsidRPr="002341C3" w:rsidRDefault="00DF53A1" w:rsidP="007C3B38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Pr="003F2CFC" w:rsidRDefault="00ED10CE" w:rsidP="00ED10CE">
      <w:pPr>
        <w:spacing w:before="120" w:after="120"/>
        <w:jc w:val="both"/>
        <w:rPr>
          <w:rFonts w:eastAsia="Times New Roman"/>
          <w:b/>
          <w:bCs/>
          <w:lang w:eastAsia="es-ES"/>
        </w:rPr>
      </w:pPr>
      <w:r w:rsidRPr="003F2CFC">
        <w:rPr>
          <w:rFonts w:eastAsia="Times New Roman"/>
          <w:b/>
          <w:bCs/>
          <w:lang w:eastAsia="es-ES"/>
        </w:rPr>
        <w:t>Introducción</w:t>
      </w:r>
    </w:p>
    <w:p w:rsidR="00ED10CE" w:rsidRDefault="00ED10CE" w:rsidP="003C6220">
      <w:pPr>
        <w:spacing w:before="120" w:after="120"/>
        <w:ind w:firstLine="708"/>
        <w:jc w:val="both"/>
        <w:rPr>
          <w:rFonts w:eastAsia="Times New Roman"/>
          <w:bCs/>
          <w:lang w:eastAsia="es-ES"/>
        </w:rPr>
      </w:pPr>
      <w:r>
        <w:rPr>
          <w:rFonts w:eastAsia="Times New Roman"/>
          <w:bCs/>
          <w:lang w:eastAsia="es-ES"/>
        </w:rPr>
        <w:t>[Escribir aquí – sangría 1,25 cm.]</w:t>
      </w:r>
    </w:p>
    <w:p w:rsidR="00ED10CE" w:rsidRPr="00E46438" w:rsidRDefault="00ED10CE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9A51C0" w:rsidRDefault="009A51C0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341400" w:rsidRPr="00E46438" w:rsidRDefault="00341400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9A51C0" w:rsidRPr="00E46438" w:rsidRDefault="009A51C0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ED10CE" w:rsidRDefault="00ED10CE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CF5C06" w:rsidRDefault="00CF5C06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37220B" w:rsidRDefault="0037220B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37220B" w:rsidRPr="00E46438" w:rsidRDefault="0037220B" w:rsidP="00ED10CE">
      <w:pPr>
        <w:spacing w:before="120" w:after="120"/>
        <w:jc w:val="both"/>
        <w:rPr>
          <w:rFonts w:eastAsia="Times New Roman"/>
          <w:bCs/>
          <w:sz w:val="20"/>
          <w:lang w:eastAsia="es-ES"/>
        </w:rPr>
      </w:pPr>
    </w:p>
    <w:p w:rsidR="00ED10CE" w:rsidRPr="003F2CFC" w:rsidRDefault="00ED10CE" w:rsidP="00ED10CE">
      <w:pPr>
        <w:spacing w:before="120" w:after="120"/>
        <w:jc w:val="both"/>
        <w:rPr>
          <w:rFonts w:eastAsia="Times New Roman"/>
          <w:b/>
          <w:bCs/>
          <w:lang w:eastAsia="es-ES"/>
        </w:rPr>
      </w:pPr>
      <w:r w:rsidRPr="003F2CFC">
        <w:rPr>
          <w:rFonts w:eastAsia="Times New Roman"/>
          <w:b/>
          <w:bCs/>
          <w:lang w:eastAsia="es-ES"/>
        </w:rPr>
        <w:t>Metodología</w:t>
      </w:r>
    </w:p>
    <w:p w:rsidR="00ED10CE" w:rsidRDefault="00ED10CE" w:rsidP="00ED10CE">
      <w:pPr>
        <w:spacing w:before="120" w:after="120"/>
        <w:ind w:firstLine="708"/>
        <w:jc w:val="both"/>
        <w:rPr>
          <w:rFonts w:eastAsia="Times New Roman"/>
          <w:bCs/>
          <w:lang w:eastAsia="es-ES"/>
        </w:rPr>
      </w:pPr>
      <w:r>
        <w:rPr>
          <w:rFonts w:eastAsia="Times New Roman"/>
          <w:bCs/>
          <w:lang w:eastAsia="es-ES"/>
        </w:rPr>
        <w:t>[Escribir aquí – sangría 1,25 cm.]</w:t>
      </w:r>
    </w:p>
    <w:p w:rsidR="00ED10CE" w:rsidRPr="00E46438" w:rsidRDefault="00ED10CE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9A51C0" w:rsidRPr="00E46438" w:rsidRDefault="009A51C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9A51C0" w:rsidRDefault="009A51C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341400" w:rsidRPr="00E46438" w:rsidRDefault="0034140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Default="00ED10CE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CF5C06" w:rsidRDefault="00CF5C06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37220B" w:rsidRDefault="0037220B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37220B" w:rsidRPr="00E46438" w:rsidRDefault="0037220B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Pr="006F7EA2" w:rsidRDefault="00ED10CE" w:rsidP="00ED10CE">
      <w:pPr>
        <w:spacing w:before="120" w:after="120"/>
        <w:jc w:val="both"/>
        <w:rPr>
          <w:rFonts w:eastAsia="Times New Roman"/>
          <w:b/>
          <w:bCs/>
          <w:lang w:eastAsia="es-ES"/>
        </w:rPr>
      </w:pPr>
      <w:r w:rsidRPr="006F7EA2">
        <w:rPr>
          <w:rFonts w:eastAsia="Times New Roman"/>
          <w:b/>
          <w:bCs/>
          <w:lang w:eastAsia="es-ES"/>
        </w:rPr>
        <w:t>Resultados</w:t>
      </w:r>
    </w:p>
    <w:p w:rsidR="00ED10CE" w:rsidRDefault="00ED10CE" w:rsidP="00ED10CE">
      <w:pPr>
        <w:spacing w:before="120" w:after="120"/>
        <w:ind w:firstLine="708"/>
        <w:jc w:val="both"/>
        <w:rPr>
          <w:rFonts w:eastAsia="Times New Roman"/>
          <w:bCs/>
          <w:lang w:eastAsia="es-ES"/>
        </w:rPr>
      </w:pPr>
      <w:r>
        <w:rPr>
          <w:rFonts w:eastAsia="Times New Roman"/>
          <w:bCs/>
          <w:lang w:eastAsia="es-ES"/>
        </w:rPr>
        <w:t>[Escribir aquí – sangría 1,25 cm.]</w:t>
      </w:r>
    </w:p>
    <w:p w:rsidR="00ED10CE" w:rsidRDefault="00ED10CE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341400" w:rsidRPr="00E46438" w:rsidRDefault="0034140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9A51C0" w:rsidRPr="00E46438" w:rsidRDefault="009A51C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Pr="00E46438" w:rsidRDefault="00ED10CE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Default="00ED10CE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37220B" w:rsidRDefault="0037220B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37220B" w:rsidRDefault="0037220B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  <w:bookmarkStart w:id="0" w:name="_GoBack"/>
      <w:bookmarkEnd w:id="0"/>
    </w:p>
    <w:p w:rsidR="00CF5C06" w:rsidRPr="00E46438" w:rsidRDefault="00CF5C06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Pr="006F7EA2" w:rsidRDefault="00ED10CE" w:rsidP="00ED10CE">
      <w:pPr>
        <w:spacing w:before="120" w:after="120"/>
        <w:jc w:val="both"/>
        <w:rPr>
          <w:rFonts w:eastAsia="Times New Roman"/>
          <w:b/>
          <w:bCs/>
          <w:lang w:eastAsia="es-ES"/>
        </w:rPr>
      </w:pPr>
      <w:r w:rsidRPr="006F7EA2">
        <w:rPr>
          <w:rFonts w:eastAsia="Times New Roman"/>
          <w:b/>
          <w:bCs/>
          <w:lang w:eastAsia="es-ES"/>
        </w:rPr>
        <w:t>Conclusiones / Discusión</w:t>
      </w:r>
    </w:p>
    <w:p w:rsidR="00ED10CE" w:rsidRDefault="00ED10CE" w:rsidP="00ED10CE">
      <w:pPr>
        <w:spacing w:before="120" w:after="120"/>
        <w:ind w:firstLine="708"/>
        <w:jc w:val="both"/>
        <w:rPr>
          <w:rFonts w:eastAsia="Times New Roman"/>
          <w:bCs/>
          <w:lang w:eastAsia="es-ES"/>
        </w:rPr>
      </w:pPr>
      <w:r>
        <w:rPr>
          <w:rFonts w:eastAsia="Times New Roman"/>
          <w:bCs/>
          <w:lang w:eastAsia="es-ES"/>
        </w:rPr>
        <w:t>[Escribir aquí – sangría 1,25 cm.]</w:t>
      </w:r>
    </w:p>
    <w:p w:rsidR="00341400" w:rsidRDefault="0034140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341400" w:rsidRPr="00E46438" w:rsidRDefault="0034140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9A51C0" w:rsidRDefault="009A51C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CF5C06" w:rsidRDefault="00CF5C06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CF5C06" w:rsidRDefault="00CF5C06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CF5C06" w:rsidRPr="00E46438" w:rsidRDefault="00CF5C06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9A51C0" w:rsidRPr="00E46438" w:rsidRDefault="009A51C0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Pr="00E46438" w:rsidRDefault="00ED10CE" w:rsidP="00ED10CE">
      <w:pPr>
        <w:spacing w:before="120" w:after="120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ED10CE" w:rsidRPr="006F7EA2" w:rsidRDefault="00ED10CE" w:rsidP="00ED10CE">
      <w:pPr>
        <w:spacing w:before="120" w:after="120"/>
        <w:jc w:val="both"/>
        <w:rPr>
          <w:rFonts w:eastAsia="Times New Roman"/>
          <w:b/>
          <w:bCs/>
          <w:lang w:eastAsia="es-ES"/>
        </w:rPr>
      </w:pPr>
      <w:r w:rsidRPr="006F7EA2">
        <w:rPr>
          <w:rFonts w:eastAsia="Times New Roman"/>
          <w:b/>
          <w:bCs/>
          <w:lang w:eastAsia="es-ES"/>
        </w:rPr>
        <w:t>Referencias bibliográficas</w:t>
      </w:r>
    </w:p>
    <w:p w:rsidR="00ED10CE" w:rsidRDefault="00ED10CE" w:rsidP="00FE5B51">
      <w:pPr>
        <w:spacing w:before="120" w:after="120"/>
        <w:ind w:left="1417" w:hanging="709"/>
        <w:jc w:val="both"/>
        <w:rPr>
          <w:rFonts w:eastAsia="Times New Roman"/>
          <w:bCs/>
          <w:lang w:eastAsia="es-ES"/>
        </w:rPr>
      </w:pPr>
      <w:r>
        <w:rPr>
          <w:rFonts w:eastAsia="Times New Roman"/>
          <w:bCs/>
          <w:lang w:eastAsia="es-ES"/>
        </w:rPr>
        <w:t>[Escribir aquí – sangría francesa 1,25 cm.]</w:t>
      </w:r>
    </w:p>
    <w:p w:rsidR="002341C3" w:rsidRPr="00E46438" w:rsidRDefault="002341C3" w:rsidP="00ED10CE">
      <w:pPr>
        <w:spacing w:before="120" w:after="120"/>
        <w:ind w:left="709" w:hanging="709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2341C3" w:rsidRPr="00E46438" w:rsidRDefault="002341C3" w:rsidP="00ED10CE">
      <w:pPr>
        <w:spacing w:before="120" w:after="120"/>
        <w:ind w:left="709" w:hanging="709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2341C3" w:rsidRPr="00E46438" w:rsidRDefault="002341C3" w:rsidP="00ED10CE">
      <w:pPr>
        <w:spacing w:before="120" w:after="120"/>
        <w:ind w:left="709" w:hanging="709"/>
        <w:jc w:val="both"/>
        <w:rPr>
          <w:rFonts w:eastAsia="Times New Roman"/>
          <w:bCs/>
          <w:sz w:val="20"/>
          <w:szCs w:val="20"/>
          <w:lang w:eastAsia="es-ES"/>
        </w:rPr>
      </w:pPr>
    </w:p>
    <w:p w:rsidR="00B5457F" w:rsidRDefault="00B5457F" w:rsidP="00B5457F">
      <w:pPr>
        <w:rPr>
          <w:sz w:val="20"/>
          <w:szCs w:val="20"/>
        </w:rPr>
      </w:pPr>
    </w:p>
    <w:p w:rsidR="00CF5C06" w:rsidRPr="00E46438" w:rsidRDefault="00CF5C06" w:rsidP="00B5457F">
      <w:pPr>
        <w:rPr>
          <w:sz w:val="20"/>
          <w:szCs w:val="20"/>
        </w:rPr>
      </w:pPr>
    </w:p>
    <w:p w:rsidR="004D0141" w:rsidRPr="00E46438" w:rsidRDefault="004D0141" w:rsidP="00684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D0141" w:rsidRPr="00E46438" w:rsidSect="00684431">
      <w:headerReference w:type="default" r:id="rId9"/>
      <w:footerReference w:type="even" r:id="rId10"/>
      <w:footerReference w:type="default" r:id="rId11"/>
      <w:pgSz w:w="11906" w:h="16838"/>
      <w:pgMar w:top="16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72" w:rsidRDefault="00D15E72">
      <w:r>
        <w:separator/>
      </w:r>
    </w:p>
  </w:endnote>
  <w:endnote w:type="continuationSeparator" w:id="0">
    <w:p w:rsidR="00D15E72" w:rsidRDefault="00D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53" w:rsidRDefault="00F12953" w:rsidP="00612E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2953" w:rsidRDefault="00F12953" w:rsidP="00B35F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53" w:rsidRDefault="00F12953" w:rsidP="00612E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22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12953" w:rsidRDefault="00F12953" w:rsidP="00B35F4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72" w:rsidRDefault="00D15E72">
      <w:r>
        <w:separator/>
      </w:r>
    </w:p>
  </w:footnote>
  <w:footnote w:type="continuationSeparator" w:id="0">
    <w:p w:rsidR="00D15E72" w:rsidRDefault="00D1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C9" w:rsidRDefault="00055EC9" w:rsidP="00DF53A1">
    <w:pPr>
      <w:pStyle w:val="Encabezado"/>
      <w:rPr>
        <w:sz w:val="6"/>
        <w:szCs w:val="6"/>
      </w:rPr>
    </w:pPr>
  </w:p>
  <w:p w:rsidR="00055EC9" w:rsidRDefault="00055EC9" w:rsidP="00256CFF">
    <w:pPr>
      <w:pStyle w:val="Encabezado"/>
      <w:jc w:val="center"/>
      <w:rPr>
        <w:sz w:val="6"/>
        <w:szCs w:val="6"/>
      </w:rPr>
    </w:pPr>
  </w:p>
  <w:p w:rsidR="00055EC9" w:rsidRDefault="00055EC9" w:rsidP="00256CFF">
    <w:pPr>
      <w:pStyle w:val="Encabezado"/>
      <w:jc w:val="center"/>
      <w:rPr>
        <w:sz w:val="6"/>
        <w:szCs w:val="6"/>
      </w:rPr>
    </w:pPr>
  </w:p>
  <w:p w:rsidR="00055EC9" w:rsidRDefault="00055EC9" w:rsidP="00256CFF">
    <w:pPr>
      <w:pStyle w:val="Encabezado"/>
      <w:jc w:val="center"/>
      <w:rPr>
        <w:sz w:val="6"/>
        <w:szCs w:val="6"/>
      </w:rPr>
    </w:pPr>
  </w:p>
  <w:p w:rsidR="00055EC9" w:rsidRDefault="00055EC9" w:rsidP="00256CFF">
    <w:pPr>
      <w:pStyle w:val="Encabezado"/>
      <w:jc w:val="center"/>
      <w:rPr>
        <w:sz w:val="6"/>
        <w:szCs w:val="6"/>
      </w:rPr>
    </w:pPr>
  </w:p>
  <w:tbl>
    <w:tblPr>
      <w:tblStyle w:val="Tablaconcuadrcula"/>
      <w:tblW w:w="8506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8"/>
      <w:gridCol w:w="3541"/>
      <w:gridCol w:w="2557"/>
    </w:tblGrid>
    <w:tr w:rsidR="00055EC9" w:rsidTr="00DF53A1">
      <w:trPr>
        <w:trHeight w:val="558"/>
      </w:trPr>
      <w:tc>
        <w:tcPr>
          <w:tcW w:w="2408" w:type="dxa"/>
        </w:tcPr>
        <w:p w:rsidR="00055EC9" w:rsidRDefault="00DF53A1" w:rsidP="00055EC9">
          <w:pPr>
            <w:pStyle w:val="Encabezado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47F7D54F" wp14:editId="09BF24F3">
                <wp:simplePos x="0" y="0"/>
                <wp:positionH relativeFrom="margin">
                  <wp:posOffset>200660</wp:posOffset>
                </wp:positionH>
                <wp:positionV relativeFrom="margin">
                  <wp:posOffset>29210</wp:posOffset>
                </wp:positionV>
                <wp:extent cx="819150" cy="36576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iou_2021_110x5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  <w:p w:rsidR="00055EC9" w:rsidRDefault="00055EC9" w:rsidP="00256CFF">
          <w:pPr>
            <w:pStyle w:val="Encabezado"/>
            <w:jc w:val="center"/>
            <w:rPr>
              <w:sz w:val="6"/>
              <w:szCs w:val="6"/>
            </w:rPr>
          </w:pPr>
        </w:p>
      </w:tc>
      <w:tc>
        <w:tcPr>
          <w:tcW w:w="3541" w:type="dxa"/>
          <w:vAlign w:val="center"/>
        </w:tcPr>
        <w:p w:rsidR="00055EC9" w:rsidRPr="00055EC9" w:rsidRDefault="00055EC9" w:rsidP="00DF53A1">
          <w:pPr>
            <w:pStyle w:val="Encabezado"/>
            <w:rPr>
              <w:b/>
              <w:sz w:val="30"/>
              <w:szCs w:val="30"/>
            </w:rPr>
          </w:pPr>
          <w:r w:rsidRPr="00055EC9">
            <w:rPr>
              <w:b/>
              <w:sz w:val="18"/>
              <w:szCs w:val="30"/>
            </w:rPr>
            <w:t>II CONGRESO INTERNACIONAL DE ORIENTACION UNIVERSITARIA</w:t>
          </w:r>
        </w:p>
      </w:tc>
      <w:tc>
        <w:tcPr>
          <w:tcW w:w="2557" w:type="dxa"/>
          <w:vAlign w:val="center"/>
        </w:tcPr>
        <w:p w:rsidR="00055EC9" w:rsidRPr="00055EC9" w:rsidRDefault="00055EC9" w:rsidP="00055EC9">
          <w:pPr>
            <w:pStyle w:val="Encabezado"/>
            <w:jc w:val="center"/>
            <w:rPr>
              <w:b/>
              <w:sz w:val="18"/>
              <w:szCs w:val="30"/>
            </w:rPr>
          </w:pPr>
          <w:r w:rsidRPr="00055EC9">
            <w:rPr>
              <w:b/>
              <w:sz w:val="18"/>
              <w:szCs w:val="30"/>
            </w:rPr>
            <w:t>1-3 SEPTIEMBRE 2021</w:t>
          </w:r>
        </w:p>
        <w:p w:rsidR="00055EC9" w:rsidRPr="00055EC9" w:rsidRDefault="00055EC9" w:rsidP="00055EC9">
          <w:pPr>
            <w:pStyle w:val="Encabezado"/>
            <w:jc w:val="center"/>
            <w:rPr>
              <w:b/>
              <w:sz w:val="18"/>
              <w:szCs w:val="30"/>
            </w:rPr>
          </w:pPr>
          <w:r w:rsidRPr="00055EC9">
            <w:rPr>
              <w:b/>
              <w:sz w:val="18"/>
              <w:szCs w:val="30"/>
            </w:rPr>
            <w:t>VALLADOLID (ESPAÑA)</w:t>
          </w:r>
        </w:p>
      </w:tc>
    </w:tr>
  </w:tbl>
  <w:p w:rsidR="00055EC9" w:rsidRDefault="00055EC9" w:rsidP="00055EC9">
    <w:pPr>
      <w:pStyle w:val="Encabezado"/>
      <w:rPr>
        <w:sz w:val="6"/>
        <w:szCs w:val="6"/>
      </w:rPr>
    </w:pPr>
  </w:p>
  <w:p w:rsidR="00055EC9" w:rsidRDefault="00055EC9" w:rsidP="00055EC9">
    <w:pPr>
      <w:pStyle w:val="Encabezado"/>
      <w:rPr>
        <w:sz w:val="6"/>
        <w:szCs w:val="6"/>
      </w:rPr>
    </w:pPr>
  </w:p>
  <w:p w:rsidR="00055EC9" w:rsidRPr="00CF2D6E" w:rsidRDefault="00055EC9" w:rsidP="00256CFF">
    <w:pPr>
      <w:pStyle w:val="Encabezad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8B3"/>
    <w:multiLevelType w:val="multilevel"/>
    <w:tmpl w:val="7C44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C197E"/>
    <w:multiLevelType w:val="hybridMultilevel"/>
    <w:tmpl w:val="54802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3167D"/>
    <w:multiLevelType w:val="hybridMultilevel"/>
    <w:tmpl w:val="D29E79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B76"/>
    <w:multiLevelType w:val="hybridMultilevel"/>
    <w:tmpl w:val="DA6E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06CBD"/>
    <w:multiLevelType w:val="hybridMultilevel"/>
    <w:tmpl w:val="59523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16847"/>
    <w:multiLevelType w:val="hybridMultilevel"/>
    <w:tmpl w:val="10886CB6"/>
    <w:lvl w:ilvl="0" w:tplc="67F8F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MingLiU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5A"/>
    <w:rsid w:val="00055EC9"/>
    <w:rsid w:val="001574A2"/>
    <w:rsid w:val="001D37DC"/>
    <w:rsid w:val="00215FC7"/>
    <w:rsid w:val="002220F7"/>
    <w:rsid w:val="00232A5A"/>
    <w:rsid w:val="002341C3"/>
    <w:rsid w:val="002430F2"/>
    <w:rsid w:val="00245942"/>
    <w:rsid w:val="00256CFF"/>
    <w:rsid w:val="0029542C"/>
    <w:rsid w:val="002A334E"/>
    <w:rsid w:val="002C4547"/>
    <w:rsid w:val="00321CDD"/>
    <w:rsid w:val="00341400"/>
    <w:rsid w:val="0037220B"/>
    <w:rsid w:val="003769CB"/>
    <w:rsid w:val="003902F6"/>
    <w:rsid w:val="003C6220"/>
    <w:rsid w:val="003D566B"/>
    <w:rsid w:val="00435946"/>
    <w:rsid w:val="00445AC6"/>
    <w:rsid w:val="00466C79"/>
    <w:rsid w:val="004B743F"/>
    <w:rsid w:val="004D0141"/>
    <w:rsid w:val="004E58EE"/>
    <w:rsid w:val="004F303B"/>
    <w:rsid w:val="00550ECA"/>
    <w:rsid w:val="00587454"/>
    <w:rsid w:val="0060476A"/>
    <w:rsid w:val="00612E19"/>
    <w:rsid w:val="00655431"/>
    <w:rsid w:val="00684431"/>
    <w:rsid w:val="006F7617"/>
    <w:rsid w:val="007664DD"/>
    <w:rsid w:val="007A2FE0"/>
    <w:rsid w:val="007C3B38"/>
    <w:rsid w:val="007D50FA"/>
    <w:rsid w:val="008615DF"/>
    <w:rsid w:val="008676B1"/>
    <w:rsid w:val="008E567D"/>
    <w:rsid w:val="009040D0"/>
    <w:rsid w:val="00912DCE"/>
    <w:rsid w:val="009160AD"/>
    <w:rsid w:val="0093523B"/>
    <w:rsid w:val="00935429"/>
    <w:rsid w:val="00991353"/>
    <w:rsid w:val="009A51C0"/>
    <w:rsid w:val="009B4004"/>
    <w:rsid w:val="009B6A32"/>
    <w:rsid w:val="00A15963"/>
    <w:rsid w:val="00A42E45"/>
    <w:rsid w:val="00A65DFA"/>
    <w:rsid w:val="00A83BDB"/>
    <w:rsid w:val="00A95810"/>
    <w:rsid w:val="00AC30B0"/>
    <w:rsid w:val="00AD733F"/>
    <w:rsid w:val="00AE1C15"/>
    <w:rsid w:val="00AF0ACD"/>
    <w:rsid w:val="00AF6FFD"/>
    <w:rsid w:val="00B00111"/>
    <w:rsid w:val="00B00488"/>
    <w:rsid w:val="00B12B5D"/>
    <w:rsid w:val="00B35F4F"/>
    <w:rsid w:val="00B5457F"/>
    <w:rsid w:val="00BB10EB"/>
    <w:rsid w:val="00BC507B"/>
    <w:rsid w:val="00BD0CC6"/>
    <w:rsid w:val="00BE1E04"/>
    <w:rsid w:val="00BE29BC"/>
    <w:rsid w:val="00C66877"/>
    <w:rsid w:val="00CD3D6F"/>
    <w:rsid w:val="00CF13EB"/>
    <w:rsid w:val="00CF5C06"/>
    <w:rsid w:val="00D15E72"/>
    <w:rsid w:val="00D25C37"/>
    <w:rsid w:val="00D83DB9"/>
    <w:rsid w:val="00D969B2"/>
    <w:rsid w:val="00DF53A1"/>
    <w:rsid w:val="00E20919"/>
    <w:rsid w:val="00E23AC8"/>
    <w:rsid w:val="00E46438"/>
    <w:rsid w:val="00E51ED1"/>
    <w:rsid w:val="00E711C2"/>
    <w:rsid w:val="00ED10CE"/>
    <w:rsid w:val="00F04C48"/>
    <w:rsid w:val="00F10F61"/>
    <w:rsid w:val="00F12953"/>
    <w:rsid w:val="00F43B5A"/>
    <w:rsid w:val="00F57FF7"/>
    <w:rsid w:val="00F965FE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E3E51"/>
  <w15:chartTrackingRefBased/>
  <w15:docId w15:val="{43A52C5C-7FC0-4AD4-A6C5-F9C70AAD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F7"/>
    <w:rPr>
      <w:sz w:val="24"/>
      <w:szCs w:val="24"/>
      <w:lang w:eastAsia="zh-TW"/>
    </w:rPr>
  </w:style>
  <w:style w:type="paragraph" w:styleId="Ttulo1">
    <w:name w:val="heading 1"/>
    <w:basedOn w:val="Normal"/>
    <w:next w:val="Normal"/>
    <w:link w:val="Ttulo1Car"/>
    <w:qFormat/>
    <w:rsid w:val="002220F7"/>
    <w:pPr>
      <w:spacing w:line="360" w:lineRule="auto"/>
      <w:jc w:val="center"/>
      <w:outlineLvl w:val="0"/>
    </w:pPr>
    <w:rPr>
      <w:rFonts w:ascii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4F6408"/>
    <w:rPr>
      <w:b/>
    </w:rPr>
  </w:style>
  <w:style w:type="paragraph" w:styleId="Encabezado">
    <w:name w:val="header"/>
    <w:basedOn w:val="Normal"/>
    <w:link w:val="EncabezadoCar"/>
    <w:uiPriority w:val="99"/>
    <w:rsid w:val="0016722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7221"/>
    <w:pPr>
      <w:tabs>
        <w:tab w:val="center" w:pos="4252"/>
        <w:tab w:val="right" w:pos="8504"/>
      </w:tabs>
    </w:pPr>
  </w:style>
  <w:style w:type="paragraph" w:customStyle="1" w:styleId="papertitle">
    <w:name w:val="paper title"/>
    <w:rsid w:val="00C36677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Author">
    <w:name w:val="Author"/>
    <w:rsid w:val="00C36677"/>
    <w:pPr>
      <w:spacing w:before="360" w:after="40"/>
      <w:jc w:val="center"/>
    </w:pPr>
    <w:rPr>
      <w:rFonts w:eastAsia="SimSun"/>
      <w:noProof/>
      <w:sz w:val="22"/>
      <w:szCs w:val="22"/>
      <w:lang w:val="en-US" w:eastAsia="en-US"/>
    </w:rPr>
  </w:style>
  <w:style w:type="character" w:styleId="Hipervnculo">
    <w:name w:val="Hyperlink"/>
    <w:rsid w:val="00F87698"/>
    <w:rPr>
      <w:color w:val="0000FF"/>
      <w:u w:val="single"/>
    </w:rPr>
  </w:style>
  <w:style w:type="table" w:styleId="Tablaconcuadrcula">
    <w:name w:val="Table Grid"/>
    <w:basedOn w:val="Tablanormal"/>
    <w:rsid w:val="00E8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27264"/>
  </w:style>
  <w:style w:type="character" w:customStyle="1" w:styleId="ti2">
    <w:name w:val="ti2"/>
    <w:rsid w:val="00CC3D09"/>
    <w:rPr>
      <w:sz w:val="22"/>
      <w:szCs w:val="22"/>
    </w:rPr>
  </w:style>
  <w:style w:type="paragraph" w:styleId="NormalWeb">
    <w:name w:val="Normal (Web)"/>
    <w:basedOn w:val="Normal"/>
    <w:rsid w:val="00CC54AF"/>
    <w:pPr>
      <w:spacing w:before="100" w:beforeAutospacing="1" w:after="100" w:afterAutospacing="1"/>
    </w:pPr>
  </w:style>
  <w:style w:type="character" w:styleId="nfasis">
    <w:name w:val="Emphasis"/>
    <w:qFormat/>
    <w:rsid w:val="00B5457F"/>
    <w:rPr>
      <w:rFonts w:ascii="Arial" w:hAnsi="Arial" w:cs="Courier New"/>
      <w:b w:val="0"/>
      <w:i/>
      <w:iCs/>
      <w:sz w:val="20"/>
      <w:szCs w:val="20"/>
    </w:rPr>
  </w:style>
  <w:style w:type="character" w:styleId="Nmerodepgina">
    <w:name w:val="page number"/>
    <w:basedOn w:val="Fuentedeprrafopredeter"/>
    <w:rsid w:val="00B35F4F"/>
  </w:style>
  <w:style w:type="character" w:customStyle="1" w:styleId="Ttulo1Car">
    <w:name w:val="Título 1 Car"/>
    <w:link w:val="Ttulo1"/>
    <w:rsid w:val="002220F7"/>
    <w:rPr>
      <w:rFonts w:ascii="Arial" w:hAnsi="Arial" w:cs="Arial"/>
      <w:b/>
      <w:color w:val="000000"/>
      <w:sz w:val="24"/>
      <w:szCs w:val="24"/>
      <w:lang w:eastAsia="zh-TW"/>
    </w:rPr>
  </w:style>
  <w:style w:type="paragraph" w:customStyle="1" w:styleId="Titulo2">
    <w:name w:val="Titulo  2"/>
    <w:basedOn w:val="Normal"/>
    <w:qFormat/>
    <w:rsid w:val="002220F7"/>
    <w:pPr>
      <w:spacing w:line="360" w:lineRule="auto"/>
    </w:pPr>
    <w:rPr>
      <w:rFonts w:ascii="Arial" w:hAnsi="Arial" w:cs="Arial"/>
      <w:b/>
      <w:color w:val="000000"/>
      <w:sz w:val="22"/>
      <w:szCs w:val="20"/>
    </w:rPr>
  </w:style>
  <w:style w:type="character" w:customStyle="1" w:styleId="EncabezadoCar">
    <w:name w:val="Encabezado Car"/>
    <w:link w:val="Encabezado"/>
    <w:uiPriority w:val="99"/>
    <w:rsid w:val="00ED10CE"/>
    <w:rPr>
      <w:sz w:val="24"/>
      <w:szCs w:val="24"/>
      <w:lang w:eastAsia="zh-TW"/>
    </w:rPr>
  </w:style>
  <w:style w:type="character" w:styleId="CdigoHTML">
    <w:name w:val="HTML Code"/>
    <w:rsid w:val="00B5457F"/>
    <w:rPr>
      <w:rFonts w:ascii="Courier New" w:hAnsi="Courier New" w:cs="Courier New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ED10CE"/>
    <w:rPr>
      <w:sz w:val="24"/>
      <w:szCs w:val="24"/>
      <w:lang w:eastAsia="zh-TW"/>
    </w:rPr>
  </w:style>
  <w:style w:type="paragraph" w:styleId="Prrafodelista">
    <w:name w:val="List Paragraph"/>
    <w:basedOn w:val="Normal"/>
    <w:uiPriority w:val="34"/>
    <w:qFormat/>
    <w:rsid w:val="00BE1E0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E1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61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910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04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320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82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595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9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050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4@correo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2E83-F2AC-47EE-AEF7-C36FEF4F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Resúmenes-Abstracts</vt:lpstr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Resúmenes-Abstracts</dc:title>
  <dc:subject>CIOU2018</dc:subject>
  <dc:creator>CIOU2020</dc:creator>
  <cp:keywords/>
  <cp:lastModifiedBy>Observal</cp:lastModifiedBy>
  <cp:revision>16</cp:revision>
  <cp:lastPrinted>1899-12-31T23:00:00Z</cp:lastPrinted>
  <dcterms:created xsi:type="dcterms:W3CDTF">2020-02-19T18:15:00Z</dcterms:created>
  <dcterms:modified xsi:type="dcterms:W3CDTF">2020-09-14T07:55:00Z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